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66.png" ContentType="image/png"/>
  <Override PartName="/word/media/rId43.png" ContentType="image/png"/>
  <Override PartName="/word/media/rId39.png" ContentType="image/png"/>
  <Override PartName="/word/media/rId35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75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imodulons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 at the bottom).</w:t>
      </w:r>
      <w:r>
        <w:t xml:space="preserve"> </w:t>
      </w:r>
      <w:r>
        <w:t xml:space="preserve">This should not be possible since all genes get assigned to a node (modulon) on</w:t>
      </w:r>
      <w:r>
        <w:t xml:space="preserve"> </w:t>
      </w:r>
      <w:r>
        <w:t xml:space="preserve">every stage (condition run). The issue is that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df_cond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 S0 -0.8864822 26_10         NA</w:t>
      </w:r>
      <w:r>
        <w:br/>
      </w:r>
      <w:r>
        <w:rPr>
          <w:rStyle w:val="VerbatimChar"/>
        </w:rPr>
        <w:t xml:space="preserve">2 1       1        S0  1.3514882 26_10         NA</w:t>
      </w:r>
      <w:r>
        <w:br/>
      </w:r>
      <w:r>
        <w:rPr>
          <w:rStyle w:val="VerbatimChar"/>
        </w:rPr>
        <w:t xml:space="preserve">3 2       2        S0  1.7112368 26_10         NA</w:t>
      </w:r>
      <w:r>
        <w:br/>
      </w:r>
      <w:r>
        <w:rPr>
          <w:rStyle w:val="VerbatimChar"/>
        </w:rPr>
        <w:t xml:space="preserve">4 3       3        S0  2.3598187 26_10         NA</w:t>
      </w:r>
      <w:r>
        <w:br/>
      </w:r>
      <w:r>
        <w:rPr>
          <w:rStyle w:val="VerbatimChar"/>
        </w:rPr>
        <w:t xml:space="preserve">5 4       4        S0  5.3243216 26_10         NA</w:t>
      </w:r>
      <w:r>
        <w:br/>
      </w:r>
      <w:r>
        <w:rPr>
          <w:rStyle w:val="VerbatimChar"/>
        </w:rPr>
        <w:t xml:space="preserve">6 5       5        S0 -0.3278940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df_cond_abs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</w:t>
      </w:r>
      <w:r>
        <w:br/>
      </w:r>
      <w:r>
        <w:rPr>
          <w:rStyle w:val="NormalTok"/>
        </w:rPr>
        <w:t xml:space="preserve">                                      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(df_cond_abs, modulon_condition,</w:t>
      </w:r>
      <w:r>
        <w:br/>
      </w:r>
      <w:r>
        <w:rPr>
          <w:rStyle w:val="NormalTok"/>
        </w:rPr>
        <w:t xml:space="preserve">                            stage,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br/>
      </w:r>
      <w:r>
        <w:rPr>
          <w:rStyle w:val="NormalTok"/>
        </w:rPr>
        <w:t xml:space="preserve">                               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(complete_exp,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alluvium =</w:t>
      </w:r>
      <w:r>
        <w:rPr>
          <w:rStyle w:val="NormalTok"/>
        </w:rPr>
        <w:t xml:space="preserve"> modulon_condition,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df_cond_39loc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(df_cond_39loc)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(df_cond_39loc,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modulon,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"Biological replicate"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Start w:id="58" w:name="sec-first-approach"/>
    <w:p>
      <w:pPr>
        <w:pStyle w:val="Heading2"/>
      </w:pPr>
      <w:r>
        <w:t xml:space="preserve">First approach</w:t>
      </w:r>
    </w:p>
    <w:p>
      <w:pPr>
        <w:pStyle w:val="FirstParagraph"/>
      </w:pPr>
      <w:r>
        <w:t xml:space="preserve">We merely expressed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w:r>
        <w:t xml:space="preserve">in stan this with two matrices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 of one (mimicking the ICA representation) that, when multiplied, give</w:t>
      </w:r>
      <w:r>
        <w:t xml:space="preserve"> </w:t>
      </w:r>
      <w:r>
        <w:t xml:space="preserve">rise to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.</w:t>
      </w:r>
    </w:p>
    <w:p>
      <w:pPr>
        <w:pStyle w:val="BodyText"/>
      </w:pPr>
      <w:r>
        <w:t xml:space="preserve">This worked for simulated data to some extent. For real data, using 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, we faced the following issues:</w:t>
      </w:r>
    </w:p>
    <w:p>
      <w:pPr>
        <w:numPr>
          <w:ilvl w:val="0"/>
          <w:numId w:val="1001"/>
        </w:numPr>
        <w:pStyle w:val="Compact"/>
      </w:pPr>
      <w:r>
        <w:t xml:space="preserve">The max tree depth had to be set to 1 to get any sampling. This is a problem</w:t>
      </w:r>
      <w:r>
        <w:t xml:space="preserve"> </w:t>
      </w:r>
      <w:r>
        <w:t xml:space="preserve">since that the MCMC chains take too long to sample to do any real inference.</w:t>
      </w:r>
    </w:p>
    <w:p>
      <w:pPr>
        <w:numPr>
          <w:ilvl w:val="0"/>
          <w:numId w:val="1001"/>
        </w:numPr>
        <w:pStyle w:val="Compact"/>
      </w:pPr>
      <w:r>
        <w:t xml:space="preserve">The output is too big. In the end we end with a 30GB file per chain (given the huge amount of columns in the output).</w:t>
      </w:r>
      <w:r>
        <w:t xml:space="preserve"> </w:t>
      </w:r>
      <w:r>
        <w:t xml:space="preserve">This is very difficult to handle.</w:t>
      </w:r>
    </w:p>
    <w:p>
      <w:pPr>
        <w:pStyle w:val="FirstParagraph"/>
      </w:pPr>
      <w:r>
        <w:t xml:space="preserve">The results retain some sparsity. These are some of the traces of some arbitrarily</w:t>
      </w:r>
      <w:r>
        <w:t xml:space="preserve"> </w:t>
      </w:r>
      <w:r>
        <w:t xml:space="preserve">picked parameters of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"data/lambda4.1start.csv"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groundwork_files/figure-docx/unnamed-chunk-12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same for variational inference (took less than an hour):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"data/lambda4.1_variational.csv"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trans=</w:t>
      </w:r>
      <w:r>
        <w:rPr>
          <w:rStyle w:val="StringTok"/>
        </w:rPr>
        <w:t xml:space="preserve">'log10'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groundwork_files/figure-docx/unnamed-chunk-14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Using partial pooling with shared parameters over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matrix helped to achieve a better sampling, but still hitting the max tree depth set at 10 at every draw.</w:t>
      </w:r>
    </w:p>
    <w:bookmarkEnd w:id="58"/>
    <w:bookmarkStart w:id="70" w:name="orthogonality"/>
    <w:p>
      <w:pPr>
        <w:pStyle w:val="Heading2"/>
      </w:pPr>
      <w:r>
        <w:t xml:space="preserve">Orthogonality</w:t>
      </w:r>
    </w:p>
    <w:p>
      <w:pPr>
        <w:pStyle w:val="FirstParagraph"/>
      </w:pPr>
      <w:r>
        <w:t xml:space="preserve">From the previous analysis, we can see that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should be further constrained. The charasteristic constrain of ICA is the orthogonality; such that result is that of</w:t>
      </w:r>
      <w:r>
        <w:t xml:space="preserve"> </w:t>
      </w:r>
      <w:r>
        <w:rPr>
          <w:iCs/>
          <w:i/>
        </w:rPr>
        <w:t xml:space="preserve">Independent Components</w:t>
      </w:r>
      <w:r>
        <w:t xml:space="preserve">.</w:t>
      </w:r>
    </w:p>
    <w:p>
      <w:pPr>
        <w:pStyle w:val="BodyText"/>
      </w:pPr>
      <w:r>
        <w:t xml:space="preserve">Jauch, Hoff, and Dunson (2019)</w:t>
      </w:r>
      <w:r>
        <w:t xml:space="preserve"> </w:t>
      </w:r>
      <w:r>
        <w:t xml:space="preserve">proposes a polar expansion (</w:t>
      </w:r>
      <w:hyperlink w:anchor="eq-polar">
        <w:r>
          <w:rPr>
            <w:rStyle w:val="Hyperlink"/>
          </w:rPr>
          <w:t xml:space="preserve">Equation 7</w:t>
        </w:r>
      </w:hyperlink>
      <w:r>
        <w:t xml:space="preserve">) to achieve this. The authors proposed a PCA generative model using this expansion that we can adapt for our needs in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.</w:t>
      </w:r>
    </w:p>
    <w:p>
      <w:pPr>
        <w:pStyle w:val="BodyText"/>
      </w:pPr>
      <w:bookmarkStart w:id="59" w:name="eq-polar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λ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nor/>
                    <m:sty m:val="p"/>
                    <m:scr m:val="monospace"/>
                  </m:rPr>
                  <m:t>eigenvalues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  <m:sSup>
                      <m:e>
                        <m:r>
                          <m:t>X</m:t>
                        </m:r>
                      </m:e>
                      <m:sup>
                        <m:r>
                          <m:t>T</m:t>
                        </m:r>
                      </m:sup>
                    </m:sSup>
                  </m:e>
                </m:d>
              </m:e>
            </m:mr>
            <m:mr>
              <m:e>
                <m:sSubSup>
                  <m:e>
                    <m:r>
                      <m:t>X</m:t>
                    </m:r>
                  </m:e>
                  <m:sub>
                    <m:r>
                      <m:t>m</m:t>
                    </m:r>
                  </m:sub>
                  <m:sup>
                    <m:r>
                      <m:t>p</m:t>
                    </m:r>
                  </m:sup>
                </m:sSub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r>
                          <m:t>λ</m:t>
                        </m:r>
                        <m:sSub>
                          <m:e>
                            <m:d>
                              <m:dPr>
                                <m:begChr m:val="("/>
                                <m:endChr m:val=")"/>
                                <m:sepChr m:val=""/>
                                <m:grow/>
                              </m:dPr>
                              <m:e>
                                <m:r>
                                  <m:t>X</m:t>
                                </m:r>
                              </m:e>
                            </m:d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rad>
                  </m:den>
                </m:f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59"/>
    </w:p>
    <w:p>
      <w:pPr>
        <w:pStyle w:val="FirstParagraph"/>
      </w:pPr>
      <w:bookmarkStart w:id="60" w:name="eq-or-pc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M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</m:e>
            </m:mr>
            <m:mr>
              <m:e>
                <m:sSub>
                  <m:e>
                    <m:r>
                      <m:t>A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A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A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</m:e>
            </m:mr>
            <m:mr>
              <m:e>
                <m:r>
                  <m:t>ν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D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</m:e>
                </m:d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sSup>
                      <m:e>
                        <m: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60"/>
    </w:p>
    <w:p>
      <w:pPr>
        <w:pStyle w:val="FirstParagraph"/>
      </w:pPr>
      <w:r>
        <w:t xml:space="preserve">where</w:t>
      </w:r>
      <w:r>
        <w:t xml:space="preserve"> </w:t>
      </w:r>
      <m:oMath>
        <m:r>
          <m:t>ξ</m:t>
        </m:r>
      </m:oMath>
      <w:r>
        <w:t xml:space="preserve"> </w:t>
      </w:r>
      <w:r>
        <w:t xml:space="preserve">is defined as</w:t>
      </w:r>
      <w:r>
        <w:t xml:space="preserve"> </w:t>
      </w:r>
      <w:hyperlink w:anchor="eq-xi">
        <w:r>
          <w:rPr>
            <w:rStyle w:val="Hyperlink"/>
          </w:rPr>
          <w:t xml:space="preserve">Equation 9</w:t>
        </w:r>
      </w:hyperlink>
      <w:r>
        <w:t xml:space="preserve">. This of course did not produce sparse results (</w:t>
      </w:r>
      <w:hyperlink w:anchor="fig-or-pca">
        <w:r>
          <w:rPr>
            <w:rStyle w:val="Hyperlink"/>
          </w:rPr>
          <w:t xml:space="preserve">Figure 4</w:t>
        </w:r>
      </w:hyperlink>
      <w:r>
        <w:t xml:space="preserve">).</w:t>
      </w:r>
    </w:p>
    <w:p>
      <w:pPr>
        <w:pStyle w:val="BodyText"/>
      </w:pPr>
      <w:bookmarkStart w:id="61" w:name="eq-xi"/>
      <m:oMathPara>
        <m:oMathParaPr>
          <m:jc m:val="center"/>
        </m:oMathParaPr>
        <m:oMath>
          <m:r>
            <m:t>ξ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rPr>
              <m:nor/>
              <m:sty m:val="p"/>
              <m:scr m:val="monospace"/>
            </m:rPr>
            <m:t>eigenvectors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  <m:sSup>
                <m:e>
                  <m:r>
                    <m:t>X</m:t>
                  </m:r>
                </m:e>
                <m:sup>
                  <m:r>
                    <m:t>T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61"/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-or-pca"/>
          <w:p>
            <w:pPr>
              <w:jc w:val="center"/>
            </w:pPr>
            <w:r>
              <w:drawing>
                <wp:inline>
                  <wp:extent cx="5334000" cy="1182624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data/or_pca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82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Three first latent modulon vectors of</w:t>
            </w:r>
            <w:r>
              <w:t xml:space="preserve"> </w:t>
            </w:r>
            <m:oMath>
              <m:r>
                <m:t>M</m:t>
              </m:r>
            </m:oMath>
            <w:r>
              <w:t xml:space="preserve"> </w:t>
            </w:r>
            <w:r>
              <w:t xml:space="preserve">for each gene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 yielded by orthogonal PCA</w:t>
            </w:r>
          </w:p>
          <w:bookmarkEnd w:id="65"/>
        </w:tc>
      </w:tr>
    </w:tbl>
    <w:p>
      <w:pPr>
        <w:pStyle w:val="BodyText"/>
      </w:pPr>
      <w:r>
        <w:t xml:space="preserve">We can reintroduce the regularized horseshoe, this time only for the M priors</w:t>
      </w:r>
      <w:r>
        <w:t xml:space="preserve"> </w:t>
      </w:r>
      <w:r>
        <w:t xml:space="preserve">after the orthogonality (</w:t>
      </w:r>
      <m:oMath>
        <m:sSub>
          <m:e>
            <m:r>
              <m:t>M</m:t>
            </m:r>
          </m:e>
          <m:sub>
            <m:r>
              <m:t>p</m:t>
            </m:r>
          </m:sub>
        </m:sSub>
      </m:oMath>
      <w:r>
        <w:t xml:space="preserve">) and changing the prior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to a t-student as 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.</w:t>
      </w:r>
      <w:r>
        <w:t xml:space="preserve"> </w:t>
      </w:r>
      <w:r>
        <w:t xml:space="preserve">The 90 inferred modulons (chosen as the number identified by classical ICA) for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 </w:t>
      </w:r>
      <w:r>
        <w:t xml:space="preserve">are shown in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, where sparsity can be seen for</w:t>
      </w:r>
      <w:r>
        <w:t xml:space="preserve"> </w:t>
      </w:r>
      <w:r>
        <w:t xml:space="preserve">the different latent modulons.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arviz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az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CommentTok"/>
        </w:rPr>
        <w:t xml:space="preserve"># not included in the repo since it is 4 GB</w:t>
      </w:r>
      <w:r>
        <w:br/>
      </w:r>
      <w:r>
        <w:rPr>
          <w:rStyle w:val="NormalTok"/>
        </w:rPr>
        <w:t xml:space="preserve">idata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az.from_cmdstan([</w:t>
      </w:r>
      <w:r>
        <w:rPr>
          <w:rStyle w:val="StringTok"/>
        </w:rPr>
        <w:t xml:space="preserve">"../spbica/res/sparse_orthogonal_nov-20230915233645_1.csv"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idata.posterior.U_tilde.sel({</w:t>
      </w:r>
      <w:r>
        <w:rPr>
          <w:rStyle w:val="StringTok"/>
        </w:rPr>
        <w:t xml:space="preserve">"chain"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"U_tilde_dim_1"</w:t>
      </w:r>
      <w:r>
        <w:rPr>
          <w:rStyle w:val="NormalTok"/>
        </w:rPr>
        <w:t xml:space="preserve">: i}).to_pandas()</w:t>
      </w:r>
      <w:r>
        <w:br/>
      </w:r>
      <w:r>
        <w:rPr>
          <w:rStyle w:val="NormalTok"/>
        </w:rPr>
        <w:t xml:space="preserve">    u[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  dfs.append(u)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all_us.append(</w:t>
      </w:r>
      <w:r>
        <w:br/>
      </w:r>
      <w:r>
        <w:rPr>
          <w:rStyle w:val="NormalTok"/>
        </w:rPr>
        <w:t xml:space="preserve">            pd.melt(pd.concat(dfs),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.groupby([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.agg(</w:t>
      </w:r>
      <w:r>
        <w:br/>
      </w:r>
      <w:r>
        <w:rPr>
          <w:rStyle w:val="NormalTok"/>
        </w:rPr>
        <w:t xml:space="preserve">                down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median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uran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.reset_index()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dfs</w:t>
      </w:r>
      <w:r>
        <w:br/>
      </w:r>
      <w:r>
        <w:rPr>
          <w:rStyle w:val="NormalTok"/>
        </w:rPr>
        <w:t xml:space="preserve">        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pd.concat(all_us)</w:t>
      </w:r>
      <w:r>
        <w:br/>
      </w:r>
      <w:r>
        <w:rPr>
          <w:rStyle w:val="NormalTok"/>
        </w:rPr>
        <w:t xml:space="preserve">all_us.to_csv(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plotnine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p9</w:t>
      </w:r>
      <w:r>
        <w:br/>
      </w:r>
      <w:r>
        <w:br/>
      </w:r>
      <w:r>
        <w:rPr>
          <w:rStyle w:val="NormalTok"/>
        </w:rPr>
        <w:t xml:space="preserve">all_us: pd.DataFrame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p9.ggplot(</w:t>
      </w:r>
      <w:r>
        <w:br/>
      </w:r>
      <w:r>
        <w:rPr>
          <w:rStyle w:val="NormalTok"/>
        </w:rPr>
        <w:t xml:space="preserve">        all_us.reset_index(),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it would be better to use tau as the color to indicate membership</w:t>
      </w:r>
      <w:r>
        <w:br/>
      </w:r>
      <w:r>
        <w:rPr>
          <w:rStyle w:val="NormalTok"/>
        </w:rPr>
        <w:t xml:space="preserve">        p9.aes(ymin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"down"</w:t>
      </w:r>
      <w:r>
        <w:rPr>
          <w:rStyle w:val="NormalTok"/>
        </w:rPr>
        <w:t xml:space="preserve">, ymax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"up"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"median"</w:t>
      </w:r>
      <w:r>
        <w:rPr>
          <w:rStyle w:val="NormalTok"/>
        </w:rPr>
        <w:t xml:space="preserve">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"uran"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p9.geom_errorbar()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p9.geom_point()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p9.facet_wrap(</w:t>
      </w:r>
      <w:r>
        <w:rPr>
          <w:rStyle w:val="StringTok"/>
        </w:rPr>
        <w:t xml:space="preserve">"~modulon"</w:t>
      </w:r>
      <w:r>
        <w:rPr>
          <w:rStyle w:val="NormalTok"/>
        </w:rPr>
        <w:t xml:space="preserve">, scales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"v"</w:t>
      </w:r>
      <w:r>
        <w:rPr>
          <w:rStyle w:val="NormalTok"/>
        </w:rPr>
        <w:t xml:space="preserve">, ncol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p9.theme(figure_size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&lt;Figure Size: (2000 x 4000)&gt;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9" w:name="fig-or-ica-90"/>
          <w:p>
            <w:pPr>
              <w:jc w:val="center"/>
            </w:pPr>
            <w:r>
              <w:drawing>
                <wp:inline>
                  <wp:extent cx="5334000" cy="1066800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or-ica-90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6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Orthogonal, sparse modulon vectors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</w:t>
            </w:r>
          </w:p>
          <w:bookmarkEnd w:id="69"/>
        </w:tc>
      </w:tr>
    </w:tbl>
    <w:p>
      <w:pPr>
        <w:pStyle w:val="BodyText"/>
      </w:pPr>
      <w:r>
        <w:t xml:space="preserve">However, altough faster to sample, the chains are still hitting the max tree</w:t>
      </w:r>
      <w:r>
        <w:t xml:space="preserve"> </w:t>
      </w:r>
      <w:r>
        <w:t xml:space="preserve">depth. In the case of orthogonality,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matrix is not identifiable since</w:t>
      </w:r>
      <w:r>
        <w:t xml:space="preserve"> </w:t>
      </w:r>
      <w:r>
        <w:t xml:space="preserve">there is a rotational invariance in the polar expansion. This is a problem for</w:t>
      </w:r>
      <w:r>
        <w:t xml:space="preserve"> </w:t>
      </w:r>
      <w:r>
        <w:t xml:space="preserve">reporting such modulons. Another issue that becomes evident when looking at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is that the positive-constraint on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makes the modulons interpretation less</w:t>
      </w:r>
      <w:r>
        <w:t xml:space="preserve"> </w:t>
      </w:r>
      <w:r>
        <w:t xml:space="preserve">straightforward in a biological sense, where we expect that a regulatory mode</w:t>
      </w:r>
      <w:r>
        <w:t xml:space="preserve"> </w:t>
      </w:r>
      <w:r>
        <w:t xml:space="preserve">may increase the expression of some genes and decrease the expression of some</w:t>
      </w:r>
      <w:r>
        <w:t xml:space="preserve"> </w:t>
      </w:r>
      <w:r>
        <w:t xml:space="preserve">other genes.</w:t>
      </w:r>
    </w:p>
    <w:p>
      <w:pPr>
        <w:pStyle w:val="BodyText"/>
      </w:pPr>
      <w:r>
        <w:t xml:space="preserve">As aforementioned,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showed the benefit</w:t>
      </w:r>
      <w:r>
        <w:t xml:space="preserve"> </w:t>
      </w:r>
      <w:r>
        <w:t xml:space="preserve">of a positive constraint for Bayesian ICA with their mixture of gaussians</w:t>
      </w:r>
      <w:r>
        <w:t xml:space="preserve"> </w:t>
      </w:r>
      <w:r>
        <w:t xml:space="preserve">model. However, they propposed the constrain for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— leaving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unconstrained —, the opposite of what we are doing. Would it be sound to</w:t>
      </w:r>
      <w:r>
        <w:t xml:space="preserve"> </w:t>
      </w:r>
      <w:r>
        <w:t xml:space="preserve">remove the squared term of</w:t>
      </w:r>
      <w:r>
        <w:t xml:space="preserve"> </w:t>
      </w:r>
      <m:oMath>
        <m:r>
          <m:t>λ</m:t>
        </m:r>
      </m:oMath>
      <w:r>
        <w:t xml:space="preserve"> </w:t>
      </w:r>
      <w:r>
        <w:t xml:space="preserve">in the definition of</w:t>
      </w:r>
      <w:r>
        <w:t xml:space="preserve"> </w:t>
      </w:r>
      <m:oMath>
        <m:acc>
          <m:accPr>
            <m:chr m:val="̃"/>
          </m:accPr>
          <m:e>
            <m:r>
              <m:t>λ</m:t>
            </m:r>
          </m:e>
        </m:acc>
      </m:oMath>
      <w:r>
        <w:t xml:space="preserve"> </w:t>
      </w:r>
      <w:r>
        <w:t xml:space="preserve">(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) to support</w:t>
      </w:r>
      <w:r>
        <w:t xml:space="preserve"> </w:t>
      </w:r>
      <m:oMath>
        <m:r>
          <m:t>M</m:t>
        </m:r>
        <m:r>
          <m:rPr>
            <m:sty m:val="p"/>
          </m:rPr>
          <m:t>∈</m:t>
        </m:r>
        <m:r>
          <m:rPr>
            <m:sty m:val="p"/>
            <m:scr m:val="double-struck"/>
          </m:rPr>
          <m:t>R</m:t>
        </m:r>
      </m:oMath>
      <w:r>
        <w:t xml:space="preserve">?</w:t>
      </w:r>
    </w:p>
    <w:bookmarkEnd w:id="70"/>
    <w:bookmarkStart w:id="74" w:name="design-matrices"/>
    <w:p>
      <w:pPr>
        <w:pStyle w:val="Heading2"/>
      </w:pPr>
      <w:r>
        <w:t xml:space="preserve">Design matrices</w:t>
      </w:r>
    </w:p>
    <w:p>
      <w:pPr>
        <w:pStyle w:val="FirstParagraph"/>
      </w:pPr>
      <w:r>
        <w:t xml:space="preserve">The</w:t>
      </w:r>
      <w:r>
        <w:t xml:space="preserve"> </w:t>
      </w:r>
      <w:hyperlink w:anchor="sec-first-approach">
        <w:r>
          <w:rPr>
            <w:rStyle w:val="Hyperlink"/>
          </w:rPr>
          <w:t xml:space="preserve">Section 2.5</w:t>
        </w:r>
      </w:hyperlink>
      <w:r>
        <w:t xml:space="preserve"> </w:t>
      </w:r>
      <w:r>
        <w:t xml:space="preserve">was refined through the above discussion and compared</w:t>
      </w:r>
      <w:r>
        <w:t xml:space="preserve"> </w:t>
      </w:r>
      <w:r>
        <w:t xml:space="preserve">with biological regulon data.</w:t>
      </w:r>
    </w:p>
    <w:p>
      <w:pPr>
        <w:pStyle w:val="BodyText"/>
      </w:pPr>
      <w:r>
        <w:t xml:space="preserve">The first simple change was to make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negative instead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 remove</w:t>
      </w:r>
      <w:r>
        <w:t xml:space="preserve"> </w:t>
      </w:r>
      <w:r>
        <w:t xml:space="preserve">the sparsity from</w:t>
      </w:r>
      <w:r>
        <w:t xml:space="preserve"> </w:t>
      </w:r>
      <m:oMath>
        <m:r>
          <m:t>A</m:t>
        </m:r>
      </m:oMath>
      <w:r>
        <w:t xml:space="preserve">. Now,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 </w:t>
      </w:r>
      <w:r>
        <w:t xml:space="preserve">becomes</w:t>
      </w:r>
    </w:p>
    <w:p>
      <w:pPr>
        <w:pStyle w:val="BodyText"/>
      </w:pPr>
      <w:bookmarkStart w:id="71" w:name="eq-posA-rM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σ</m:t>
                    </m:r>
                  </m:e>
                  <m:sub>
                    <m:r>
                      <m:t>A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</m:sSub>
                  </m:e>
                </m:d>
              </m:e>
            </m:mr>
            <m:mr>
              <m:e>
                <m:r>
                  <m:t>z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∈</m:t>
                </m:r>
                <m:sSup>
                  <m:e>
                    <m:r>
                      <m:rPr>
                        <m:sty m:val="p"/>
                        <m:scr m:val="double-struck"/>
                      </m:rPr>
                      <m:t>R</m:t>
                    </m:r>
                  </m:e>
                  <m:sup>
                    <m:sSub>
                      <m:e>
                        <m:r>
                          <m:t>N</m:t>
                        </m:r>
                      </m:e>
                      <m:sub>
                        <m:r>
                          <m:t>O</m:t>
                        </m:r>
                      </m:sub>
                    </m:sSub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M</m:t>
                        </m:r>
                      </m:sub>
                    </m:sSub>
                  </m:sup>
                </m:sSup>
              </m:e>
            </m:mr>
            <m:mr>
              <m:e>
                <m:r>
                  <m:t>β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z</m:t>
                </m:r>
                <m:r>
                  <m:rPr>
                    <m:sty m:val="p"/>
                  </m:rPr>
                  <m:t>*</m:t>
                </m:r>
                <m:r>
                  <m:rPr>
                    <m:nor/>
                    <m:sty m:val="p"/>
                  </m:rPr>
                  <m:t>sparse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  <m:r>
                      <m:rPr>
                        <m:sty m:val="p"/>
                      </m:rPr>
                      <m:t>,</m:t>
                    </m:r>
                    <m:r>
                      <m:t>c</m:t>
                    </m:r>
                  </m:e>
                </m:d>
              </m:e>
            </m:mr>
            <m:mr>
              <m:e>
                <m:acc>
                  <m:accPr>
                    <m:chr m:val="̂"/>
                  </m:accPr>
                  <m:e>
                    <m:r>
                      <m:t>y</m:t>
                    </m:r>
                  </m:e>
                </m:acc>
              </m:e>
              <m:e>
                <m:r>
                  <m:rPr>
                    <m:sty m:val="p"/>
                  </m:rPr>
                  <m:t>=</m:t>
                </m:r>
                <m:r>
                  <m:t>β</m:t>
                </m:r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  <m:r>
                  <m:t>A</m:t>
                </m:r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acc>
                      <m:accPr>
                        <m:chr m:val="̂"/>
                      </m:accPr>
                      <m:e>
                        <m:r>
                          <m:t>y</m:t>
                        </m:r>
                      </m:e>
                    </m:acc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10</m:t>
              </m:r>
            </m:e>
          </m:d>
        </m:oMath>
      </m:oMathPara>
      <w:bookmarkEnd w:id="71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M</m:t>
            </m:r>
          </m:sub>
        </m:sSub>
      </m:oMath>
      <w:r>
        <w:t xml:space="preserve"> </w:t>
      </w:r>
      <w:r>
        <w:t xml:space="preserve">is the number of modulons and</w:t>
      </w:r>
      <w:r>
        <w:t xml:space="preserve"> </w:t>
      </w:r>
      <m:oMath>
        <m:sSub>
          <m:e>
            <m:r>
              <m:t>N</m:t>
            </m:r>
          </m:e>
          <m:sub>
            <m:r>
              <m:t>O</m:t>
            </m:r>
          </m:sub>
        </m:sSub>
      </m:oMath>
      <w:r>
        <w:t xml:space="preserve"> </w:t>
      </w:r>
      <w:r>
        <w:t xml:space="preserve">is the number of operons. The latter</w:t>
      </w:r>
      <w:r>
        <w:t xml:space="preserve"> </w:t>
      </w:r>
      <w:r>
        <w:t xml:space="preserve">is the second modification to the model.</w:t>
      </w:r>
    </w:p>
    <w:p>
      <w:pPr>
        <w:pStyle w:val="BodyText"/>
      </w:pPr>
      <w:r>
        <w:t xml:space="preserve">Before,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was generated as a linear application from Modulons to Genes.</w:t>
      </w:r>
      <w:r>
        <w:t xml:space="preserve"> </w:t>
      </w:r>
      <w:r>
        <w:t xml:space="preserve">However, this is wasteful since genes are usually expressed in an operon in</w:t>
      </w:r>
      <w:r>
        <w:t xml:space="preserve"> </w:t>
      </w:r>
      <w:r>
        <w:t xml:space="preserve">prokaryotes: adjacent genes in the genome are transcribed into a single mRNA</w:t>
      </w:r>
      <w:r>
        <w:t xml:space="preserve"> </w:t>
      </w:r>
      <w:r>
        <w:t xml:space="preserve">that then in translated to the corresponding different proteins. We have this</w:t>
      </w:r>
      <w:r>
        <w:t xml:space="preserve"> </w:t>
      </w:r>
      <w:r>
        <w:t xml:space="preserve">information available with some degree of evidence in databases like BioCyc,</w:t>
      </w:r>
      <w:r>
        <w:t xml:space="preserve"> </w:t>
      </w:r>
      <w:r>
        <w:t xml:space="preserve">especially for organisms like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. Thus,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is now an application</w:t>
      </w:r>
      <w:r>
        <w:t xml:space="preserve"> </w:t>
      </w:r>
      <w:r>
        <w:t xml:space="preserve">from Modulons to Operons. With a</w:t>
      </w:r>
      <w:r>
        <w:t xml:space="preserve"> </w:t>
      </w:r>
      <w:r>
        <w:rPr>
          <w:iCs/>
          <w:i/>
        </w:rPr>
        <w:t xml:space="preserve">gene to operon</w:t>
      </w:r>
      <w:r>
        <w:t xml:space="preserve"> </w:t>
      </w:r>
      <w:r>
        <w:t xml:space="preserve">link array</w:t>
      </w:r>
      <w:r>
        <w:t xml:space="preserve"> </w:t>
      </w:r>
      <w:r>
        <w:rPr>
          <w:rStyle w:val="VerbatimChar"/>
        </w:rPr>
        <w:t xml:space="preserve">GxO</w:t>
      </w:r>
      <w:r>
        <w:t xml:space="preserve">,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 </w:t>
      </w:r>
      <w:r>
        <w:t xml:space="preserve">is then expanded</w:t>
      </w:r>
      <w:r>
        <w:t xml:space="preserve"> </w:t>
      </w:r>
      <w:r>
        <w:t xml:space="preserve">to the genes in the measurement model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rPr>
                      <m:sty m:val="p"/>
                    </m:rPr>
                    <m:t>: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w:r>
        <w:t xml:space="preserve">The third modification applies this concept to</w:t>
      </w:r>
      <w:r>
        <w:t xml:space="preserve"> </w:t>
      </w:r>
      <m:oMath>
        <m:r>
          <m:t>A</m:t>
        </m:r>
      </m:oMath>
      <w:r>
        <w:t xml:space="preserve">. In this case, the source</w:t>
      </w:r>
      <w:r>
        <w:t xml:space="preserve"> </w:t>
      </w:r>
      <w:r>
        <w:t xml:space="preserve">of the reduction of dimensions is the replicates. The data contains different</w:t>
      </w:r>
      <w:r>
        <w:t xml:space="preserve"> </w:t>
      </w:r>
      <w:r>
        <w:t xml:space="preserve">replicate</w:t>
      </w:r>
      <w:r>
        <w:t xml:space="preserve"> </w:t>
      </w:r>
      <w:r>
        <w:rPr>
          <w:iCs/>
          <w:i/>
        </w:rPr>
        <w:t xml:space="preserve">runs</w:t>
      </w:r>
      <w:r>
        <w:t xml:space="preserve"> </w:t>
      </w:r>
      <w:r>
        <w:t xml:space="preserve">that correspond to the same</w:t>
      </w:r>
      <w:r>
        <w:t xml:space="preserve"> </w:t>
      </w:r>
      <w:r>
        <w:rPr>
          <w:iCs/>
          <w:i/>
        </w:rPr>
        <w:t xml:space="preserve">condition</w:t>
      </w:r>
      <w:r>
        <w:t xml:space="preserve">. Hence, we can generate</w:t>
      </w:r>
      <w:r>
        <w:t xml:space="preserve"> </w:t>
      </w:r>
      <m:oMath>
        <m:r>
          <m:t>A</m:t>
        </m:r>
        <m:r>
          <m:rPr>
            <m:sty m:val="p"/>
          </m:rP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  <m:r>
              <m:rPr>
                <m:sty m:val="p"/>
              </m:rPr>
              <m:t>,</m:t>
            </m:r>
            <m:r>
              <m:t>c</m:t>
            </m:r>
          </m:sup>
        </m:sSup>
      </m:oMath>
      <w:r>
        <w:t xml:space="preserve">, where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is the number of conditions and then expand</w:t>
      </w:r>
      <w:r>
        <w:t xml:space="preserve"> </w:t>
      </w:r>
      <w:r>
        <w:t xml:space="preserve">it in the measurement model with a</w:t>
      </w:r>
      <w:r>
        <w:t xml:space="preserve"> </w:t>
      </w:r>
      <w:r>
        <w:rPr>
          <w:iCs/>
          <w:i/>
        </w:rPr>
        <w:t xml:space="preserve">run to condition</w:t>
      </w:r>
      <w:r>
        <w:t xml:space="preserve"> </w:t>
      </w:r>
      <w:r>
        <w:rPr>
          <w:rStyle w:val="VerbatimChar"/>
        </w:rPr>
        <w:t xml:space="preserve">RxC</w:t>
      </w:r>
      <w:r>
        <w:t xml:space="preserve"> </w:t>
      </w:r>
      <w:r>
        <w:t xml:space="preserve">link array: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t>R</m:t>
                  </m:r>
                  <m:r>
                    <m:t>x</m:t>
                  </m:r>
                  <m:r>
                    <m:t>C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m:oMath>
        <m:r>
          <m:t>ν</m:t>
        </m:r>
      </m:oMath>
      <w:r>
        <w:t xml:space="preserve"> </w:t>
      </w:r>
      <w:r>
        <w:t xml:space="preserve">was set to the 75 percentile of the standard deviation of genes between replicates, trying to account for of the within-operon</w:t>
      </w:r>
      <w:r>
        <w:t xml:space="preserve"> </w:t>
      </w:r>
      <w:r>
        <w:t xml:space="preserve">variance (the position in the operon affects the transcription and the translation levels</w:t>
      </w:r>
      <w:r>
        <w:t xml:space="preserve"> </w:t>
      </w:r>
      <w:r>
        <w:t xml:space="preserve">Lim, Lee, and Hussein (2011)</w:t>
      </w:r>
      <w:r>
        <w:t xml:space="preserve">).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numpy.typing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NDArray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quantiles(x: NDArray)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tuple</w:t>
      </w:r>
      <w:r>
        <w:rPr>
          <w:rStyle w:val="NormalTok"/>
        </w:rPr>
        <w:t xml:space="preserve">[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np.quantile(x, [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])</w:t>
      </w:r>
      <w:r>
        <w:br/>
      </w:r>
      <w:r>
        <w:br/>
      </w:r>
      <w:r>
        <w:br/>
      </w:r>
      <w:r>
        <w:rPr>
          <w:rStyle w:val="NormalTok"/>
        </w:rPr>
        <w:t xml:space="preserve">log_tpm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"https://github.com/SBRG/precise-db/raw/master/data/log_tpm_norm.csv"</w:t>
      </w:r>
      <w:r>
        <w:rPr>
          <w:rStyle w:val="NormalTok"/>
        </w:rPr>
        <w:t xml:space="preserve">, index_col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pd.melt(</w:t>
      </w:r>
      <w:r>
        <w:br/>
      </w:r>
      <w:r>
        <w:rPr>
          <w:rStyle w:val="NormalTok"/>
        </w:rPr>
        <w:t xml:space="preserve">    log_tpm.reset_index().rename(columns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"index"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}),</w:t>
      </w:r>
      <w:r>
        <w:br/>
      </w:r>
      <w:r>
        <w:rPr>
          <w:rStyle w:val="NormalTok"/>
        </w:rPr>
        <w:t xml:space="preserve">   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"run"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if two runs are the same in all but the last character (replicate), they are</w:t>
      </w:r>
      <w:r>
        <w:br/>
      </w:r>
      <w:r>
        <w:rPr>
          <w:rStyle w:val="CommentTok"/>
        </w:rPr>
        <w:t xml:space="preserve"># the same condition, used for groupby and then compute stastics</w:t>
      </w:r>
      <w:r>
        <w:br/>
      </w:r>
      <w:r>
        <w:rPr>
          <w:rStyle w:val="NormalTok"/>
        </w:rPr>
        <w:t xml:space="preserve">tidy_tpm[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tidy_tpm.run.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x[: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tidy_tpm.groupby([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]).agg(</w:t>
      </w:r>
      <w:r>
        <w:br/>
      </w:r>
      <w:r>
        <w:rPr>
          <w:rStyle w:val="NormalTok"/>
        </w:rPr>
        <w:t xml:space="preserve">   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np.mean),</w:t>
      </w:r>
      <w:r>
        <w:br/>
      </w:r>
      <w:r>
        <w:rPr>
          <w:rStyle w:val="NormalTok"/>
        </w:rPr>
        <w:t xml:space="preserve">    std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np.std(x)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(x)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std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tidy_tpm.loc[tidy_tpm[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].to_numpy()</w:t>
      </w:r>
      <w:r>
        <w:br/>
      </w:r>
      <w:r>
        <w:rPr>
          <w:rStyle w:val="NormalTok"/>
        </w:rPr>
        <w:t xml:space="preserve">quantiles(std)</w:t>
      </w:r>
    </w:p>
    <w:p>
      <w:pPr>
        <w:pStyle w:val="SourceCode"/>
      </w:pPr>
      <w:r>
        <w:rPr>
          <w:rStyle w:val="VerbatimChar"/>
        </w:rPr>
        <w:t xml:space="preserve">array([0.03172568, 0.0752783 , 0.16098884])</w:t>
      </w:r>
    </w:p>
    <w:p>
      <w:pPr>
        <w:pStyle w:val="FirstParagraph"/>
      </w:pPr>
      <w:r>
        <w:t xml:space="preserve">Apart from the above, the orthogonality constraint was applied to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</w:t>
      </w:r>
      <w:r>
        <w:t xml:space="preserve"> </w:t>
      </w:r>
      <w:r>
        <w:t xml:space="preserve">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(now correctly adhering to the original ICA concept).</w:t>
      </w:r>
    </w:p>
    <w:p>
      <w:pPr>
        <w:pStyle w:val="BodyText"/>
      </w:pPr>
      <w:r>
        <w:t xml:space="preserve">Furthermore,</w:t>
      </w:r>
      <w:r>
        <w:t xml:space="preserve"> </w:t>
      </w:r>
      <w:r>
        <w:t xml:space="preserve">the results of running this prototype were computed using the same protocol as in</w:t>
      </w:r>
      <w:r>
        <w:t xml:space="preserve"> </w:t>
      </w:r>
      <w:r>
        <w:t xml:space="preserve">Sastry et al. (2019)</w:t>
      </w:r>
      <w:r>
        <w:t xml:space="preserve">, where the F1-score is computed between the modulons and the</w:t>
      </w:r>
      <w:r>
        <w:t xml:space="preserve"> </w:t>
      </w:r>
      <w:r>
        <w:t xml:space="preserve">reference regulons as a measure of enrichment. This gives a good idea of the biological</w:t>
      </w:r>
      <w:r>
        <w:t xml:space="preserve"> </w:t>
      </w:r>
      <w:r>
        <w:t xml:space="preserve">meaning (or lack thereof) of the results. In this case, the membership of the genes is defined</w:t>
      </w:r>
      <w:r>
        <w:t xml:space="preserve"> </w:t>
      </w:r>
      <w:r>
        <w:t xml:space="preserve">by the</w:t>
      </w:r>
      <w:r>
        <w:t xml:space="preserve"> </w:t>
      </w:r>
      <m:oMath>
        <m:r>
          <m:t>κ</m:t>
        </m:r>
      </m:oMath>
      <w:r>
        <w:t xml:space="preserve"> </w:t>
      </w:r>
      <w:r>
        <w:t xml:space="preserve">value in</w:t>
      </w:r>
      <w:r>
        <w:t xml:space="preserve"> </w:t>
      </w:r>
      <w:hyperlink w:anchor="eq-kappa">
        <w:r>
          <w:rPr>
            <w:rStyle w:val="Hyperlink"/>
          </w:rPr>
          <w:t xml:space="preserve">Equation 11</w:t>
        </w:r>
      </w:hyperlink>
      <w:r>
        <w:t xml:space="preserve">.</w:t>
      </w:r>
    </w:p>
    <w:p>
      <w:pPr>
        <w:pStyle w:val="BodyText"/>
      </w:pPr>
      <w:bookmarkStart w:id="72" w:name="eq-kapp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κ</m:t>
                    </m:r>
                  </m:e>
                  <m:sub>
                    <m:r>
                      <m:t>m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C</m:t>
                        </m:r>
                      </m:sub>
                    </m:sSub>
                    <m:sSubSup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m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  <m:r>
                          <m:t>2</m:t>
                        </m:r>
                      </m:sup>
                    </m:sSup>
                    <m:r>
                      <m:t>ν</m:t>
                    </m:r>
                  </m:den>
                </m:f>
              </m:e>
            </m:mr>
            <m:mr>
              <m:e>
                <m:r>
                  <m:t>o</m:t>
                </m:r>
              </m:e>
              <m:e>
                <m:r>
                  <m:rPr>
                    <m:sty m:val="p"/>
                  </m:rPr>
                  <m:t>∈</m:t>
                </m:r>
                <m:r>
                  <m:t>m</m:t>
                </m:r>
                <m:r>
                  <m:rPr>
                    <m:sty m:val="p"/>
                  </m:rPr>
                  <m:t>∀</m:t>
                </m:r>
                <m:sSub>
                  <m:e>
                    <m:r>
                      <m:t>κ</m:t>
                    </m:r>
                  </m:e>
                  <m:sub>
                    <m:r>
                      <m:t>o</m:t>
                    </m:r>
                    <m:r>
                      <m:rPr>
                        <m:sty m:val="p"/>
                      </m:rPr>
                      <m:t>,</m:t>
                    </m:r>
                    <m:r>
                      <m:t>m</m:t>
                    </m:r>
                  </m:sub>
                </m:sSub>
                <m:r>
                  <m:rPr>
                    <m:sty m:val="p"/>
                  </m:rPr>
                  <m:t>&lt;</m:t>
                </m:r>
                <m:r>
                  <m:t>0.5</m:t>
                </m:r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11</m:t>
              </m:r>
            </m:e>
          </m:d>
        </m:oMath>
      </m:oMathPara>
      <w:bookmarkEnd w:id="72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the number of conditions and then expanding the membership from</w:t>
      </w:r>
      <w:r>
        <w:t xml:space="preserve"> </w:t>
      </w:r>
      <w:r>
        <w:t xml:space="preserve">operons to genes with the</w:t>
      </w:r>
      <w:r>
        <w:t xml:space="preserve"> </w:t>
      </w:r>
      <w:r>
        <w:rPr>
          <w:rStyle w:val="VerbatimChar"/>
        </w:rPr>
        <w:t xml:space="preserve">GxO</w:t>
      </w:r>
      <w:r>
        <w:t xml:space="preserve"> </w:t>
      </w:r>
      <w:r>
        <w:t xml:space="preserve">link array. In order to remove divergences and</w:t>
      </w:r>
      <w:r>
        <w:t xml:space="preserve"> </w:t>
      </w:r>
      <w:r>
        <w:t xml:space="preserve">hitting max treedepth, it was found important for sampling to reparametrize the</w:t>
      </w:r>
      <w:r>
        <w:t xml:space="preserve"> </w:t>
      </w:r>
      <w:r>
        <w:t xml:space="preserve">Student’s t distribution as a gamma-fixture representation (see Appendix of</w:t>
      </w:r>
      <w:r>
        <w:t xml:space="preserve"> </w:t>
      </w:r>
      <w:r>
        <w:t xml:space="preserve">Piironen and Vehtari (2017)</w:t>
      </w:r>
      <w:r>
        <w:t xml:space="preserve">).</w:t>
      </w:r>
    </w:p>
    <w:p>
      <w:pPr>
        <w:pStyle w:val="BodyText"/>
      </w:pPr>
      <w:r>
        <w:t xml:space="preserve">In table</w:t>
      </w:r>
      <w:r>
        <w:t xml:space="preserve"> </w:t>
      </w:r>
      <w:hyperlink w:anchor="tbl-performance">
        <w:r>
          <w:rPr>
            <w:rStyle w:val="Hyperlink"/>
          </w:rPr>
          <w:t xml:space="preserve">Table 1</w:t>
        </w:r>
      </w:hyperlink>
      <w:r>
        <w:t xml:space="preserve">, we show the TRN enrichment for the baseline ICA without restarts</w:t>
      </w:r>
      <w:r>
        <w:t xml:space="preserve"> </w:t>
      </w:r>
      <w:r>
        <w:t xml:space="preserve">and the thresholds computed by k-means, choosing the number of modulons as the one</w:t>
      </w:r>
      <w:r>
        <w:t xml:space="preserve"> </w:t>
      </w:r>
      <w:r>
        <w:t xml:space="preserve">selected by the iModulon protocol (which is the one we use in our method). The performance</w:t>
      </w:r>
      <w:r>
        <w:t xml:space="preserve"> </w:t>
      </w:r>
      <w:r>
        <w:t xml:space="preserve">is better for the F1 score but it is able to map less transcription factors to modulons.</w:t>
      </w:r>
    </w:p>
    <w:bookmarkStart w:id="73" w:name="tbl-performance"/>
    <w:p>
      <w:pPr>
        <w:pStyle w:val="TableCaption"/>
      </w:pPr>
      <w:r>
        <w:t xml:space="preserve">Table 1: F1-score percentiles for the baseline an our method.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F1-score percentiles for the baseline an our method."/>
      </w:tblPr>
      <w:tblGrid>
        <w:gridCol w:w="1606"/>
        <w:gridCol w:w="1606"/>
        <w:gridCol w:w="1606"/>
        <w:gridCol w:w="1606"/>
        <w:gridCol w:w="149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75%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50%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25%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Matched TFs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ICA Baseline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This work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74</w:t>
            </w:r>
          </w:p>
        </w:tc>
      </w:tr>
    </w:tbl>
    <w:bookmarkEnd w:id="73"/>
    <w:bookmarkEnd w:id="74"/>
    <w:bookmarkEnd w:id="75"/>
    <w:bookmarkStart w:id="93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2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2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p>
      <w:pPr>
        <w:numPr>
          <w:ilvl w:val="0"/>
          <w:numId w:val="1002"/>
        </w:numPr>
      </w:pPr>
      <w:r>
        <w:t xml:space="preserve">Is there a way of making the orthogonality constraint identifiable?</w:t>
      </w:r>
    </w:p>
    <w:bookmarkStart w:id="92" w:name="refs"/>
    <w:bookmarkStart w:id="77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76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77"/>
    <w:bookmarkStart w:id="79" w:name="ref-jauchMonteCarloSimulation2019"/>
    <w:p>
      <w:pPr>
        <w:pStyle w:val="Bibliography"/>
      </w:pPr>
      <w:r>
        <w:t xml:space="preserve">Jauch, Michael, Peter D. Hoff, and David B. Dunson. 2019.</w:t>
      </w:r>
      <w:r>
        <w:t xml:space="preserve"> </w:t>
      </w:r>
      <w:r>
        <w:t xml:space="preserve">“Monte</w:t>
      </w:r>
      <w:r>
        <w:t xml:space="preserve"> </w:t>
      </w:r>
      <w:r>
        <w:t xml:space="preserve">Carlo</w:t>
      </w:r>
      <w:r>
        <w:t xml:space="preserve"> </w:t>
      </w:r>
      <w:r>
        <w:t xml:space="preserve">Simulation on the</w:t>
      </w:r>
      <w:r>
        <w:t xml:space="preserve"> </w:t>
      </w:r>
      <w:r>
        <w:t xml:space="preserve">Stiefel</w:t>
      </w:r>
      <w:r>
        <w:t xml:space="preserve"> </w:t>
      </w:r>
      <w:r>
        <w:t xml:space="preserve">Manifold via Polar Expansion,”</w:t>
      </w:r>
      <w:r>
        <w:t xml:space="preserve"> </w:t>
      </w:r>
      <w:r>
        <w:t xml:space="preserve">no. arXiv:1906.07684 (June).</w:t>
      </w:r>
      <w:r>
        <w:t xml:space="preserve"> </w:t>
      </w:r>
      <w:hyperlink r:id="rId78">
        <w:r>
          <w:rPr>
            <w:rStyle w:val="Hyperlink"/>
          </w:rPr>
          <w:t xml:space="preserve">https://doi.org/10.48550/arXiv.1906.07684</w:t>
        </w:r>
      </w:hyperlink>
      <w:r>
        <w:t xml:space="preserve">.</w:t>
      </w:r>
    </w:p>
    <w:bookmarkEnd w:id="79"/>
    <w:bookmarkStart w:id="81" w:name="X01dc58194352ccd303668a09200a69a0b499852"/>
    <w:p>
      <w:pPr>
        <w:pStyle w:val="Bibliography"/>
      </w:pPr>
      <w:r>
        <w:t xml:space="preserve">Lim, Han N., Yeong Lee, and Razika Hussein. 2011.</w:t>
      </w:r>
      <w:r>
        <w:t xml:space="preserve"> </w:t>
      </w:r>
      <w:r>
        <w:t xml:space="preserve">“Fundamental Relationship Between Operon Organization and Gene Expression.”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t xml:space="preserve">108 (26): 10626–31.</w:t>
      </w:r>
      <w:r>
        <w:t xml:space="preserve"> </w:t>
      </w:r>
      <w:hyperlink r:id="rId80">
        <w:r>
          <w:rPr>
            <w:rStyle w:val="Hyperlink"/>
          </w:rPr>
          <w:t xml:space="preserve">https://doi.org/10.1073/pnas.1105692108</w:t>
        </w:r>
      </w:hyperlink>
      <w:r>
        <w:t xml:space="preserve">.</w:t>
      </w:r>
    </w:p>
    <w:bookmarkEnd w:id="81"/>
    <w:bookmarkStart w:id="83" w:name="Xc31e25998660e9de637722d52d8098bd5c43f26"/>
    <w:p>
      <w:pPr>
        <w:pStyle w:val="Bibliography"/>
      </w:pPr>
      <w:r>
        <w:t xml:space="preserve">Piironen, Juho, and Aki Vehtari. 2017.</w:t>
      </w:r>
      <w:r>
        <w:t xml:space="preserve"> </w:t>
      </w:r>
      <w:r>
        <w:t xml:space="preserve">“Sparsity Information and Regularization in the Horseshoe and Other Shrinkage Priors.”</w:t>
      </w:r>
      <w:r>
        <w:t xml:space="preserve"> </w:t>
      </w:r>
      <w:r>
        <w:rPr>
          <w:iCs/>
          <w:i/>
        </w:rPr>
        <w:t xml:space="preserve">Electronic Journal of Statistics</w:t>
      </w:r>
      <w:r>
        <w:t xml:space="preserve"> </w:t>
      </w:r>
      <w:r>
        <w:t xml:space="preserve">11 (2).</w:t>
      </w:r>
      <w:r>
        <w:t xml:space="preserve"> </w:t>
      </w:r>
      <w:hyperlink r:id="rId82">
        <w:r>
          <w:rPr>
            <w:rStyle w:val="Hyperlink"/>
          </w:rPr>
          <w:t xml:space="preserve">https://doi.org/10.1214/17-EJS1337SI</w:t>
        </w:r>
      </w:hyperlink>
      <w:r>
        <w:t xml:space="preserve">.</w:t>
      </w:r>
    </w:p>
    <w:bookmarkEnd w:id="83"/>
    <w:bookmarkStart w:id="85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84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85"/>
    <w:bookmarkStart w:id="87" w:name="X693e5af39c458540ca8a653a71b327f71bf28bb"/>
    <w:p>
      <w:pPr>
        <w:pStyle w:val="Bibliography"/>
      </w:pPr>
      <w:r>
        <w:t xml:space="preserve">Sastry, Anand V., Ye Gao, Richard Szubin, Ying Hefner, Sibei Xu, Donghyuk Kim, Kumari Sonal Choudhary, Laurence Yang, Zachary A. King, and Bernhard O. Palsson. 2019.</w:t>
      </w:r>
      <w:r>
        <w:t xml:space="preserve"> </w:t>
      </w:r>
      <w:r>
        <w:t xml:space="preserve">“The</w:t>
      </w:r>
      <w:r>
        <w:t xml:space="preserve"> </w:t>
      </w:r>
      <w:r>
        <w:t xml:space="preserve">Escherichia</w:t>
      </w:r>
      <w:r>
        <w:t xml:space="preserve"> </w:t>
      </w:r>
      <w:r>
        <w:t xml:space="preserve">Coli Transcriptome Mostly Consists of Independently Regulated Modules.”</w:t>
      </w:r>
      <w:r>
        <w:t xml:space="preserve"> </w:t>
      </w:r>
      <w:r>
        <w:rPr>
          <w:iCs/>
          <w:i/>
        </w:rPr>
        <w:t xml:space="preserve">Nat Commun</w:t>
      </w:r>
      <w:r>
        <w:t xml:space="preserve"> </w:t>
      </w:r>
      <w:r>
        <w:t xml:space="preserve">10 (1): 5536.</w:t>
      </w:r>
      <w:r>
        <w:t xml:space="preserve"> </w:t>
      </w:r>
      <w:hyperlink r:id="rId86">
        <w:r>
          <w:rPr>
            <w:rStyle w:val="Hyperlink"/>
          </w:rPr>
          <w:t xml:space="preserve">https://doi.org/10.1038/s41467-019-13483-w</w:t>
        </w:r>
      </w:hyperlink>
      <w:r>
        <w:t xml:space="preserve">.</w:t>
      </w:r>
    </w:p>
    <w:bookmarkEnd w:id="87"/>
    <w:bookmarkStart w:id="89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88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89"/>
    <w:bookmarkStart w:id="91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90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91"/>
    <w:bookmarkEnd w:id="92"/>
    <w:bookmarkEnd w:id="9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hyperlink" Id="rId84" Target="https://doi.org/10.1007/11559887_10" TargetMode="External" /><Relationship Type="http://schemas.openxmlformats.org/officeDocument/2006/relationships/hyperlink" Id="rId76" Target="https://doi.org/10.1016/S0893-6080(00)00026-5" TargetMode="External" /><Relationship Type="http://schemas.openxmlformats.org/officeDocument/2006/relationships/hyperlink" Id="rId88" Target="https://doi.org/10.1016/j.ymben.2020.07.002" TargetMode="External" /><Relationship Type="http://schemas.openxmlformats.org/officeDocument/2006/relationships/hyperlink" Id="rId86" Target="https://doi.org/10.1038/s41467-019-13483-w" TargetMode="External" /><Relationship Type="http://schemas.openxmlformats.org/officeDocument/2006/relationships/hyperlink" Id="rId80" Target="https://doi.org/10.1073/pnas.1105692108" TargetMode="External" /><Relationship Type="http://schemas.openxmlformats.org/officeDocument/2006/relationships/hyperlink" Id="rId82" Target="https://doi.org/10.1214/17-EJS1337SI" TargetMode="External" /><Relationship Type="http://schemas.openxmlformats.org/officeDocument/2006/relationships/hyperlink" Id="rId90" Target="https://doi.org/10.1261/rna.074922.120" TargetMode="External" /><Relationship Type="http://schemas.openxmlformats.org/officeDocument/2006/relationships/hyperlink" Id="rId78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4" Target="https://doi.org/10.1007/11559887_10" TargetMode="External" /><Relationship Type="http://schemas.openxmlformats.org/officeDocument/2006/relationships/hyperlink" Id="rId76" Target="https://doi.org/10.1016/S0893-6080(00)00026-5" TargetMode="External" /><Relationship Type="http://schemas.openxmlformats.org/officeDocument/2006/relationships/hyperlink" Id="rId88" Target="https://doi.org/10.1016/j.ymben.2020.07.002" TargetMode="External" /><Relationship Type="http://schemas.openxmlformats.org/officeDocument/2006/relationships/hyperlink" Id="rId86" Target="https://doi.org/10.1038/s41467-019-13483-w" TargetMode="External" /><Relationship Type="http://schemas.openxmlformats.org/officeDocument/2006/relationships/hyperlink" Id="rId80" Target="https://doi.org/10.1073/pnas.1105692108" TargetMode="External" /><Relationship Type="http://schemas.openxmlformats.org/officeDocument/2006/relationships/hyperlink" Id="rId82" Target="https://doi.org/10.1214/17-EJS1337SI" TargetMode="External" /><Relationship Type="http://schemas.openxmlformats.org/officeDocument/2006/relationships/hyperlink" Id="rId90" Target="https://doi.org/10.1261/rna.074922.120" TargetMode="External" /><Relationship Type="http://schemas.openxmlformats.org/officeDocument/2006/relationships/hyperlink" Id="rId78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2024-01-08T16:46:48Z</dcterms:created>
  <dcterms:modified xsi:type="dcterms:W3CDTF">2024-01-08T16:46:48Z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